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entury" w:hAnsi="Century" w:eastAsia="方正隶二简体"/>
          <w:color w:val="FF0000"/>
          <w:sz w:val="72"/>
          <w:szCs w:val="72"/>
        </w:rPr>
      </w:pPr>
      <w:r>
        <w:rPr>
          <w:rFonts w:hint="eastAsia" w:ascii="Century" w:hAnsi="Century" w:eastAsia="方正隶二简体"/>
          <w:color w:val="FF0000"/>
          <w:sz w:val="72"/>
          <w:szCs w:val="72"/>
        </w:rPr>
        <w:t>北</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路</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学</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会</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信</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息</w:t>
      </w:r>
    </w:p>
    <w:p>
      <w:pPr>
        <w:jc w:val="center"/>
        <w:rPr>
          <w:rFonts w:ascii="Century" w:hAnsi="Century" w:eastAsia="方正隶二简体"/>
          <w:color w:val="FF0000"/>
          <w:sz w:val="30"/>
          <w:szCs w:val="30"/>
        </w:rPr>
      </w:pPr>
      <w:r>
        <w:rPr>
          <w:rFonts w:ascii="Century" w:hAnsi="Century" w:eastAsia="方正隶二简体"/>
          <w:color w:val="FF0000"/>
          <w:sz w:val="30"/>
          <w:szCs w:val="30"/>
        </w:rPr>
        <w:t>20</w:t>
      </w:r>
      <w:r>
        <w:rPr>
          <w:rFonts w:hint="eastAsia" w:ascii="Century" w:hAnsi="Century" w:eastAsia="方正隶二简体"/>
          <w:color w:val="FF0000"/>
          <w:sz w:val="30"/>
          <w:szCs w:val="30"/>
        </w:rPr>
        <w:t>24年第</w:t>
      </w:r>
      <w:r>
        <w:rPr>
          <w:rFonts w:hint="eastAsia" w:ascii="Century" w:hAnsi="Century" w:eastAsia="方正隶二简体"/>
          <w:color w:val="FF0000"/>
          <w:sz w:val="30"/>
          <w:szCs w:val="30"/>
          <w:lang w:val="en-US" w:eastAsia="zh-CN"/>
        </w:rPr>
        <w:t>12</w:t>
      </w:r>
      <w:r>
        <w:rPr>
          <w:rFonts w:hint="eastAsia" w:ascii="Century" w:hAnsi="Century" w:eastAsia="方正隶二简体"/>
          <w:color w:val="FF0000"/>
          <w:sz w:val="30"/>
          <w:szCs w:val="30"/>
        </w:rPr>
        <w:t>期（总第3</w:t>
      </w:r>
      <w:r>
        <w:rPr>
          <w:rFonts w:hint="eastAsia" w:ascii="Century" w:hAnsi="Century" w:eastAsia="方正隶二简体"/>
          <w:color w:val="FF0000"/>
          <w:sz w:val="30"/>
          <w:szCs w:val="30"/>
          <w:lang w:val="en-US" w:eastAsia="zh-CN"/>
        </w:rPr>
        <w:t>63</w:t>
      </w:r>
      <w:r>
        <w:rPr>
          <w:rFonts w:hint="eastAsia" w:ascii="Century" w:hAnsi="Century" w:eastAsia="方正隶二简体"/>
          <w:color w:val="FF0000"/>
          <w:sz w:val="30"/>
          <w:szCs w:val="30"/>
        </w:rPr>
        <w:t>期）</w:t>
      </w:r>
    </w:p>
    <w:p>
      <w:pPr>
        <w:jc w:val="center"/>
        <w:rPr>
          <w:rFonts w:ascii="Century" w:hAnsi="Century" w:eastAsia="方正隶二简体"/>
          <w:color w:val="FF0000"/>
          <w:sz w:val="30"/>
          <w:szCs w:val="30"/>
        </w:rPr>
      </w:pPr>
      <w:r>
        <w:rPr>
          <w:rFonts w:hint="eastAsia" w:ascii="Century" w:hAnsi="Century" w:eastAsia="方正隶二简体"/>
          <w:color w:val="FF0000"/>
          <w:sz w:val="30"/>
          <w:szCs w:val="30"/>
        </w:rPr>
        <w:t>北京公路学会</w:t>
      </w:r>
      <w:r>
        <w:rPr>
          <w:rFonts w:ascii="Century" w:hAnsi="Century" w:eastAsia="方正隶二简体"/>
          <w:color w:val="FF0000"/>
          <w:sz w:val="30"/>
          <w:szCs w:val="30"/>
        </w:rPr>
        <w:t xml:space="preserve">                           20</w:t>
      </w:r>
      <w:r>
        <w:rPr>
          <w:rFonts w:hint="eastAsia" w:ascii="Century" w:hAnsi="Century" w:eastAsia="方正隶二简体"/>
          <w:color w:val="FF0000"/>
          <w:sz w:val="30"/>
          <w:szCs w:val="30"/>
        </w:rPr>
        <w:t>24年</w:t>
      </w:r>
      <w:r>
        <w:rPr>
          <w:rFonts w:hint="eastAsia" w:ascii="Century" w:hAnsi="Century" w:eastAsia="方正隶二简体"/>
          <w:color w:val="FF0000"/>
          <w:sz w:val="30"/>
          <w:szCs w:val="30"/>
          <w:lang w:val="en-US" w:eastAsia="zh-CN"/>
        </w:rPr>
        <w:t>9</w:t>
      </w:r>
      <w:r>
        <w:rPr>
          <w:rFonts w:hint="eastAsia" w:ascii="Century" w:hAnsi="Century" w:eastAsia="方正隶二简体"/>
          <w:color w:val="FF0000"/>
          <w:sz w:val="30"/>
          <w:szCs w:val="30"/>
        </w:rPr>
        <w:t>月</w:t>
      </w:r>
      <w:r>
        <w:rPr>
          <w:rFonts w:hint="eastAsia" w:ascii="Century" w:hAnsi="Century" w:eastAsia="方正隶二简体"/>
          <w:color w:val="FF0000"/>
          <w:sz w:val="30"/>
          <w:szCs w:val="30"/>
          <w:lang w:val="en-US" w:eastAsia="zh-CN"/>
        </w:rPr>
        <w:t>26</w:t>
      </w:r>
      <w:r>
        <w:rPr>
          <w:rFonts w:hint="eastAsia" w:ascii="Century" w:hAnsi="Century" w:eastAsia="方正隶二简体"/>
          <w:color w:val="FF0000"/>
          <w:sz w:val="30"/>
          <w:szCs w:val="30"/>
        </w:rPr>
        <w:t>日</w:t>
      </w:r>
    </w:p>
    <w:p>
      <w:pPr>
        <w:spacing w:line="240" w:lineRule="auto"/>
        <w:ind w:firstLine="0" w:firstLineChars="0"/>
        <w:jc w:val="both"/>
        <w:rPr>
          <w:rFonts w:ascii="Times New Roman" w:hAnsi="Times New Roman" w:eastAsia="宋体" w:cs="Times New Roman"/>
          <w:b/>
          <w:kern w:val="44"/>
          <w:sz w:val="40"/>
          <w:szCs w:val="22"/>
          <w:lang w:val="en-US" w:eastAsia="zh-CN" w:bidi="ar-SA"/>
        </w:rPr>
      </w:pPr>
      <w:bookmarkStart w:id="0" w:name="baidusnap0"/>
      <w:bookmarkEnd w:id="0"/>
      <w:bookmarkStart w:id="1" w:name="baidusnap2"/>
      <w:bookmarkEnd w:id="1"/>
      <w:r>
        <w:rPr>
          <w:rFonts w:ascii="Times New Roman" w:hAnsi="Times New Roman" w:eastAsia="宋体" w:cs="Times New Roman"/>
          <w:b/>
          <w:kern w:val="44"/>
          <w:sz w:val="40"/>
          <w:szCs w:val="22"/>
          <w:lang w:val="en-US" w:eastAsia="zh-CN" w:bidi="ar-SA"/>
        </w:rPr>
        <w:pict>
          <v:shape id="_x0000_s2050" o:spid="_x0000_s2050" o:spt="32" type="#_x0000_t32" style="position:absolute;left:0pt;margin-left:-18pt;margin-top:0pt;height:0pt;width:460.2pt;mso-position-horizontal-relative:margin;z-index:251659264;mso-width-relative:page;mso-height-relative:page;" o:connectortype="straight" filled="f" stroked="t" coordsize="21600,21600">
            <v:path arrowok="t"/>
            <v:fill on="f" focussize="0,0"/>
            <v:stroke weight="1pt" color="#FF0000"/>
            <v:imagedata o:title=""/>
            <o:lock v:ext="edit"/>
          </v:shape>
        </w:pict>
      </w:r>
    </w:p>
    <w:p>
      <w:pPr>
        <w:spacing w:line="240" w:lineRule="auto"/>
        <w:ind w:firstLine="803" w:firstLineChars="200"/>
        <w:jc w:val="center"/>
        <w:rPr>
          <w:rFonts w:hint="eastAsia" w:asciiTheme="majorEastAsia" w:hAnsiTheme="majorEastAsia" w:eastAsiaTheme="majorEastAsia" w:cstheme="majorEastAsia"/>
          <w:b/>
          <w:kern w:val="44"/>
          <w:sz w:val="36"/>
          <w:szCs w:val="36"/>
          <w:lang w:val="en-US" w:eastAsia="zh-CN" w:bidi="ar-SA"/>
        </w:rPr>
      </w:pPr>
      <w:r>
        <w:rPr>
          <w:rFonts w:hint="eastAsia" w:asciiTheme="majorEastAsia" w:hAnsiTheme="majorEastAsia" w:eastAsiaTheme="majorEastAsia" w:cstheme="majorEastAsia"/>
          <w:b/>
          <w:kern w:val="44"/>
          <w:sz w:val="36"/>
          <w:szCs w:val="36"/>
          <w:lang w:val="en-US" w:eastAsia="zh-CN" w:bidi="ar-SA"/>
        </w:rPr>
        <w:t>北京公路学会党建工作小组第三次会议</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720" w:firstLineChars="200"/>
        <w:jc w:val="center"/>
        <w:textAlignment w:val="auto"/>
        <w:outlineLvl w:val="9"/>
        <w:rPr>
          <w:rFonts w:hint="eastAsia" w:asciiTheme="majorEastAsia" w:hAnsiTheme="majorEastAsia" w:eastAsiaTheme="majorEastAsia" w:cstheme="majorEastAsia"/>
          <w:b/>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rPr>
        <w:drawing>
          <wp:anchor distT="0" distB="0" distL="114300" distR="114300" simplePos="0" relativeHeight="251664384" behindDoc="0" locked="0" layoutInCell="1" allowOverlap="1">
            <wp:simplePos x="0" y="0"/>
            <wp:positionH relativeFrom="column">
              <wp:posOffset>54610</wp:posOffset>
            </wp:positionH>
            <wp:positionV relativeFrom="paragraph">
              <wp:posOffset>382270</wp:posOffset>
            </wp:positionV>
            <wp:extent cx="2184400" cy="1333500"/>
            <wp:effectExtent l="0" t="0" r="6350" b="0"/>
            <wp:wrapSquare wrapText="bothSides"/>
            <wp:docPr id="5" name="图片 5" descr="9aa9f45f6608c670211cca0a47c9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aa9f45f6608c670211cca0a47c9e02"/>
                    <pic:cNvPicPr>
                      <a:picLocks noChangeAspect="1"/>
                    </pic:cNvPicPr>
                  </pic:nvPicPr>
                  <pic:blipFill>
                    <a:blip r:embed="rId6"/>
                    <a:stretch>
                      <a:fillRect/>
                    </a:stretch>
                  </pic:blipFill>
                  <pic:spPr>
                    <a:xfrm>
                      <a:off x="0" y="0"/>
                      <a:ext cx="2184400" cy="1333500"/>
                    </a:xfrm>
                    <a:prstGeom prst="rect">
                      <a:avLst/>
                    </a:prstGeom>
                  </pic:spPr>
                </pic:pic>
              </a:graphicData>
            </a:graphic>
          </wp:anchor>
        </w:drawing>
      </w:r>
      <w:r>
        <w:rPr>
          <w:rFonts w:hint="eastAsia" w:ascii="仿宋" w:hAnsi="仿宋" w:eastAsia="仿宋" w:cs="仿宋"/>
          <w:sz w:val="32"/>
          <w:szCs w:val="32"/>
          <w:lang w:val="en-US" w:eastAsia="zh-CN"/>
        </w:rPr>
        <w:t>按照市科协有关安排，学会党建小组9月25日召开第三次党建小组会议，集体学习了《中国共产党第二十届中央委员会第三次全体会议公报》《中共中央关于进一步全面深化改革推进中国式现代化的决定》和《关于&lt;中共中央关于进一步全面深化改革、推进中国式现代化的决定&gt;的说明》等文件会议由党建小组组长陈贺主持，全体成员参加学习并进行交流研讨，学会监事长参加了会议。</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p>
    <w:p>
      <w:pPr>
        <w:pStyle w:val="2"/>
        <w:keepNext/>
        <w:keepLines/>
        <w:pageBreakBefore w:val="0"/>
        <w:widowControl w:val="0"/>
        <w:kinsoku/>
        <w:wordWrap/>
        <w:overflowPunct/>
        <w:topLinePunct w:val="0"/>
        <w:autoSpaceDE/>
        <w:autoSpaceDN/>
        <w:bidi w:val="0"/>
        <w:adjustRightInd/>
        <w:snapToGrid/>
        <w:spacing w:before="120" w:beforeLines="0" w:after="120" w:afterLines="0" w:line="500" w:lineRule="exact"/>
        <w:ind w:left="0" w:leftChars="0" w:right="0" w:rightChars="0" w:firstLine="1205" w:firstLineChars="300"/>
        <w:jc w:val="both"/>
        <w:textAlignment w:val="auto"/>
        <w:outlineLvl w:val="0"/>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北京公路学会科学普及与青年科技人才</w:t>
      </w:r>
    </w:p>
    <w:p>
      <w:pPr>
        <w:pStyle w:val="2"/>
        <w:keepNext/>
        <w:keepLines/>
        <w:pageBreakBefore w:val="0"/>
        <w:widowControl w:val="0"/>
        <w:kinsoku/>
        <w:wordWrap/>
        <w:overflowPunct/>
        <w:topLinePunct w:val="0"/>
        <w:autoSpaceDE/>
        <w:autoSpaceDN/>
        <w:bidi w:val="0"/>
        <w:adjustRightInd/>
        <w:snapToGrid/>
        <w:spacing w:before="120" w:beforeLines="0" w:after="120" w:afterLines="0" w:line="500" w:lineRule="exact"/>
        <w:ind w:left="0" w:leftChars="0" w:right="0" w:rightChars="0"/>
        <w:jc w:val="center"/>
        <w:textAlignment w:val="auto"/>
        <w:outlineLvl w:val="0"/>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rPr>
        <w:t>专业（工作）委员会</w:t>
      </w:r>
      <w:r>
        <w:rPr>
          <w:rFonts w:hint="eastAsia" w:asciiTheme="majorEastAsia" w:hAnsiTheme="majorEastAsia" w:eastAsiaTheme="majorEastAsia" w:cstheme="majorEastAsia"/>
          <w:sz w:val="36"/>
          <w:szCs w:val="36"/>
          <w:lang w:val="en-US" w:eastAsia="zh-CN"/>
        </w:rPr>
        <w:t>参观服贸会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-17145</wp:posOffset>
            </wp:positionH>
            <wp:positionV relativeFrom="paragraph">
              <wp:posOffset>420370</wp:posOffset>
            </wp:positionV>
            <wp:extent cx="2505075" cy="1731010"/>
            <wp:effectExtent l="0" t="0" r="0" b="2540"/>
            <wp:wrapSquare wrapText="bothSides"/>
            <wp:docPr id="3" name="图片 3" descr="lQDPKdkjFVWNhxvNC_TND_Cw4zoD6EXvr40Gy9Wrq6NbAA_4080_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DPKdkjFVWNhxvNC_TND_Cw4zoD6EXvr40Gy9Wrq6NbAA_4080_3060"/>
                    <pic:cNvPicPr>
                      <a:picLocks noChangeAspect="1"/>
                    </pic:cNvPicPr>
                  </pic:nvPicPr>
                  <pic:blipFill>
                    <a:blip r:embed="rId7"/>
                    <a:stretch>
                      <a:fillRect/>
                    </a:stretch>
                  </pic:blipFill>
                  <pic:spPr>
                    <a:xfrm>
                      <a:off x="0" y="0"/>
                      <a:ext cx="2505075" cy="1731010"/>
                    </a:xfrm>
                    <a:prstGeom prst="rect">
                      <a:avLst/>
                    </a:prstGeom>
                  </pic:spPr>
                </pic:pic>
              </a:graphicData>
            </a:graphic>
          </wp:anchor>
        </w:drawing>
      </w:r>
      <w:r>
        <w:rPr>
          <w:rFonts w:hint="eastAsia" w:ascii="仿宋" w:hAnsi="仿宋" w:eastAsia="仿宋" w:cs="仿宋"/>
          <w:sz w:val="32"/>
          <w:szCs w:val="32"/>
          <w:lang w:val="en-US" w:eastAsia="zh-CN"/>
        </w:rPr>
        <w:t>2024年9月12日，北京公路学会领导、北京交通运输职业学院领导、专委会各成员单位代表，到服贸会参观。参观期间，</w:t>
      </w:r>
      <w:r>
        <w:rPr>
          <w:rFonts w:hint="eastAsia" w:ascii="仿宋" w:hAnsi="仿宋" w:eastAsia="仿宋" w:cs="仿宋"/>
          <w:sz w:val="32"/>
          <w:szCs w:val="32"/>
        </w:rPr>
        <w:t>北京公路学会吕嘉副秘书长首先介绍了本次参会的各单位代表，随后，北京交通运输职业学院李军副院长对各位参会代表参会表示欢迎，并向各位代表介绍学院基本情况以及学院开展科普、培训、技术创新等方面工作开展情况，代表学院对专委会的建设表示支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kern w:val="0"/>
          <w:sz w:val="32"/>
          <w:szCs w:val="32"/>
        </w:rPr>
      </w:pPr>
      <w:r>
        <w:rPr>
          <w:rFonts w:hint="eastAsia" w:ascii="仿宋" w:hAnsi="仿宋" w:eastAsia="仿宋" w:cs="仿宋"/>
          <w:sz w:val="32"/>
          <w:szCs w:val="32"/>
        </w:rPr>
        <w:t>参观完北京交通运输学院服贸会展台后，参会单位代表们进入交流研讨环节，各位代表分别介绍了本单位的科普资源以及科普活动开展情况，均表示将利用科普及青年人才专委会这个平台，更好开展科普社会服务工作。吕嘉副秘书长对专委会的建设提出了要求，表示将专委会打造为高效运行平台、建立长效运行机制，借助专委会团结和动员首都交通行业广大科技工作者，特别是青年科技人才，开展科学技术普及和青年科技人才工作，为推动北京市公路行业科技进步、促进青年科技人才成长、提升全民科学素质作出贡献。代表们还讨论了主任、副主任及成员单位人选问题，初步确定专委会成立大会时间——10月下旬召开。</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kern w:val="0"/>
          <w:sz w:val="32"/>
          <w:szCs w:val="32"/>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0"/>
        <w:jc w:val="center"/>
        <w:textAlignment w:val="auto"/>
        <w:outlineLvl w:val="9"/>
        <w:rPr>
          <w:rFonts w:hint="eastAsia" w:asciiTheme="majorEastAsia" w:hAnsiTheme="majorEastAsia" w:eastAsiaTheme="majorEastAsia" w:cstheme="majorEastAsia"/>
          <w:b/>
          <w:kern w:val="44"/>
          <w:sz w:val="36"/>
          <w:szCs w:val="36"/>
          <w:lang w:val="en-US" w:eastAsia="zh-CN" w:bidi="ar-SA"/>
        </w:rPr>
      </w:pPr>
      <w:r>
        <w:rPr>
          <w:rFonts w:hint="eastAsia" w:asciiTheme="majorEastAsia" w:hAnsiTheme="majorEastAsia" w:eastAsiaTheme="majorEastAsia" w:cstheme="majorEastAsia"/>
          <w:b/>
          <w:kern w:val="44"/>
          <w:sz w:val="36"/>
          <w:szCs w:val="36"/>
          <w:lang w:val="en-US" w:eastAsia="zh-CN" w:bidi="ar-SA"/>
        </w:rPr>
        <w:t>北京公路学会组织参观“天下第一桥”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31" w:firstLineChars="1502"/>
        <w:jc w:val="center"/>
        <w:textAlignment w:val="auto"/>
        <w:outlineLvl w:val="9"/>
        <w:rPr>
          <w:rFonts w:hint="eastAsia" w:asciiTheme="majorEastAsia" w:hAnsiTheme="majorEastAsia" w:eastAsiaTheme="majorEastAsia" w:cstheme="majorEastAsia"/>
          <w:b/>
          <w:kern w:val="44"/>
          <w:sz w:val="36"/>
          <w:szCs w:val="36"/>
          <w:lang w:val="en-US" w:eastAsia="zh-CN" w:bidi="ar-SA"/>
        </w:rPr>
      </w:pPr>
      <w:r>
        <w:rPr>
          <w:rFonts w:hint="eastAsia" w:asciiTheme="majorEastAsia" w:hAnsiTheme="majorEastAsia" w:eastAsiaTheme="majorEastAsia" w:cstheme="majorEastAsia"/>
          <w:b/>
          <w:kern w:val="44"/>
          <w:sz w:val="36"/>
          <w:szCs w:val="36"/>
          <w:lang w:val="en-US" w:eastAsia="zh-CN" w:bidi="ar-SA"/>
        </w:rPr>
        <w:t>----赵州桥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008" w:firstLineChars="1502"/>
        <w:jc w:val="both"/>
        <w:textAlignment w:val="auto"/>
        <w:outlineLvl w:val="9"/>
        <w:rPr>
          <w:rFonts w:hint="eastAsia" w:ascii="Times New Roman" w:hAnsi="Times New Roman" w:eastAsia="宋体" w:cs="Times New Roman"/>
          <w:b/>
          <w:kern w:val="44"/>
          <w:sz w:val="40"/>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5408" behindDoc="0" locked="0" layoutInCell="1" allowOverlap="1">
            <wp:simplePos x="0" y="0"/>
            <wp:positionH relativeFrom="column">
              <wp:posOffset>36830</wp:posOffset>
            </wp:positionH>
            <wp:positionV relativeFrom="paragraph">
              <wp:posOffset>368935</wp:posOffset>
            </wp:positionV>
            <wp:extent cx="1901825" cy="2401570"/>
            <wp:effectExtent l="0" t="0" r="3175" b="8255"/>
            <wp:wrapSquare wrapText="bothSides"/>
            <wp:docPr id="7" name="图片 7" descr="3698121038b1979cf25deb4f203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98121038b1979cf25deb4f2033427"/>
                    <pic:cNvPicPr>
                      <a:picLocks noChangeAspect="1"/>
                    </pic:cNvPicPr>
                  </pic:nvPicPr>
                  <pic:blipFill>
                    <a:blip r:embed="rId8"/>
                    <a:stretch>
                      <a:fillRect/>
                    </a:stretch>
                  </pic:blipFill>
                  <pic:spPr>
                    <a:xfrm flipH="1">
                      <a:off x="0" y="0"/>
                      <a:ext cx="1901825" cy="2401570"/>
                    </a:xfrm>
                    <a:prstGeom prst="rect">
                      <a:avLst/>
                    </a:prstGeom>
                  </pic:spPr>
                </pic:pic>
              </a:graphicData>
            </a:graphic>
          </wp:anchor>
        </w:drawing>
      </w:r>
      <w:r>
        <w:rPr>
          <w:rFonts w:hint="eastAsia" w:ascii="仿宋" w:hAnsi="仿宋" w:eastAsia="仿宋" w:cs="仿宋"/>
          <w:sz w:val="32"/>
          <w:szCs w:val="32"/>
          <w:lang w:val="en-US" w:eastAsia="zh-CN"/>
        </w:rPr>
        <w:t>2024年9月20日，为了解古桥历史，学习古桥文化，同时更近距离地接触和了解中国古老的文化遗产。北京公路学会张骐秘书长、科技评价中心主任王平原，带领学会秘书处同志，会同市政总院二所吴金刚所长，前往河北赵州桥参观学习。这座历史悠久的古桥，见证了中国古代人民的智慧和勤劳，使我们民族文化的瑰宝。活动当天，在专业讲解员的带领下，了解桥的历史、建筑特点和文化内涵。</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赵州桥，又称安济桥，位于中国河北省赵县境内，是世界上现存最早、保存最完整的古代敞肩石拱桥。赵州桥的历史悠久，设计独特，不仅是中国古代桥梁建筑的瑰宝，也是世界桥梁史上的奇迹。</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560" w:firstLineChars="200"/>
        <w:jc w:val="both"/>
        <w:textAlignment w:val="auto"/>
        <w:outlineLvl w:val="9"/>
        <w:rPr>
          <w:rFonts w:hint="eastAsia"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0"/>
          <w:szCs w:val="30"/>
          <w:lang w:val="en-US" w:eastAsia="zh-CN"/>
        </w:rPr>
        <w:drawing>
          <wp:anchor distT="0" distB="0" distL="114300" distR="114300" simplePos="0" relativeHeight="251661312" behindDoc="1" locked="0" layoutInCell="1" allowOverlap="1">
            <wp:simplePos x="0" y="0"/>
            <wp:positionH relativeFrom="column">
              <wp:posOffset>59055</wp:posOffset>
            </wp:positionH>
            <wp:positionV relativeFrom="paragraph">
              <wp:posOffset>358140</wp:posOffset>
            </wp:positionV>
            <wp:extent cx="2356485" cy="1899285"/>
            <wp:effectExtent l="0" t="0" r="5715" b="5715"/>
            <wp:wrapTight wrapText="bothSides">
              <wp:wrapPolygon>
                <wp:start x="0" y="0"/>
                <wp:lineTo x="0" y="21448"/>
                <wp:lineTo x="21478" y="21448"/>
                <wp:lineTo x="21478" y="0"/>
                <wp:lineTo x="0" y="0"/>
              </wp:wrapPolygon>
            </wp:wrapTight>
            <wp:docPr id="1" name="图片 1" descr="9.4公交专用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4公交专用道"/>
                    <pic:cNvPicPr>
                      <a:picLocks noChangeAspect="1"/>
                    </pic:cNvPicPr>
                  </pic:nvPicPr>
                  <pic:blipFill>
                    <a:blip r:embed="rId9"/>
                    <a:stretch>
                      <a:fillRect/>
                    </a:stretch>
                  </pic:blipFill>
                  <pic:spPr>
                    <a:xfrm>
                      <a:off x="0" y="0"/>
                      <a:ext cx="2356485" cy="1899285"/>
                    </a:xfrm>
                    <a:prstGeom prst="rect">
                      <a:avLst/>
                    </a:prstGeom>
                  </pic:spPr>
                </pic:pic>
              </a:graphicData>
            </a:graphic>
          </wp:anchor>
        </w:drawing>
      </w: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 xml:space="preserve"> 9</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月4日，</w:t>
      </w:r>
      <w:bookmarkStart w:id="2" w:name="_Hlk173920505"/>
      <w:r>
        <w:rPr>
          <w:rFonts w:hint="eastAsia" w:ascii="仿宋" w:hAnsi="仿宋" w:eastAsia="仿宋" w:cs="仿宋"/>
          <w:sz w:val="32"/>
          <w:szCs w:val="32"/>
          <w:lang w:val="en-US" w:eastAsia="zh-CN"/>
        </w:rPr>
        <w:t>学会科技评价中心在学会508会议室召开由北京交通发展研究院申请的“公交专用道运行监测和精细化管理技术及应用研究”项目成果评价会。会议由</w:t>
      </w:r>
      <w:r>
        <w:rPr>
          <w:rFonts w:hint="eastAsia" w:ascii="仿宋" w:hAnsi="仿宋" w:eastAsia="仿宋"/>
          <w:kern w:val="0"/>
          <w:sz w:val="32"/>
          <w:szCs w:val="32"/>
          <w:lang w:val="en-US" w:eastAsia="zh-CN"/>
        </w:rPr>
        <w:t>北京公路学会科技评价中心委员徐志斌教高主持</w:t>
      </w:r>
      <w:r>
        <w:rPr>
          <w:rFonts w:hint="eastAsia" w:ascii="仿宋" w:hAnsi="仿宋" w:eastAsia="仿宋" w:cs="仿宋"/>
          <w:sz w:val="32"/>
          <w:szCs w:val="32"/>
          <w:lang w:val="en-US" w:eastAsia="zh-CN"/>
        </w:rPr>
        <w:t>；项目评价小组</w:t>
      </w:r>
      <w:r>
        <w:rPr>
          <w:rFonts w:hint="eastAsia" w:ascii="仿宋" w:hAnsi="仿宋" w:eastAsia="仿宋" w:cs="仿宋"/>
          <w:color w:val="auto"/>
          <w:sz w:val="32"/>
          <w:szCs w:val="32"/>
          <w:lang w:val="en-US" w:eastAsia="zh-CN"/>
        </w:rPr>
        <w:t>5</w:t>
      </w:r>
      <w:r>
        <w:rPr>
          <w:rFonts w:hint="eastAsia" w:ascii="仿宋" w:hAnsi="仿宋" w:eastAsia="仿宋" w:cs="仿宋"/>
          <w:sz w:val="32"/>
          <w:szCs w:val="32"/>
          <w:lang w:val="en-US" w:eastAsia="zh-CN"/>
        </w:rPr>
        <w:t>位专家听取了该项目组的汇报，审阅了评价资料，进行了认真的质询和讨论，认为该项目</w:t>
      </w:r>
      <w:bookmarkEnd w:id="2"/>
      <w:r>
        <w:rPr>
          <w:rFonts w:hint="eastAsia" w:ascii="仿宋" w:hAnsi="仿宋" w:eastAsia="仿宋" w:cs="仿宋"/>
          <w:sz w:val="32"/>
          <w:szCs w:val="32"/>
          <w:lang w:val="en-US" w:eastAsia="zh-CN"/>
        </w:rPr>
        <w:t>开发了融合公交IC卡、公交GPS及浮动车数据的公交专用道运行实时监测关键技术，搭建了基于多源数据的公交专用道运行监测信息平台，提出了公交专用道宏微观评价指标体系及评价分析方法。该项目支撑了北京市公交专用道优化调整措施的实施，社会经济效益显著，具有良好的推广应用前景。</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anchor distT="0" distB="0" distL="114300" distR="114300" simplePos="0" relativeHeight="251662336" behindDoc="1" locked="0" layoutInCell="1" allowOverlap="1">
            <wp:simplePos x="0" y="0"/>
            <wp:positionH relativeFrom="column">
              <wp:posOffset>60960</wp:posOffset>
            </wp:positionH>
            <wp:positionV relativeFrom="paragraph">
              <wp:posOffset>425450</wp:posOffset>
            </wp:positionV>
            <wp:extent cx="2316480" cy="1681480"/>
            <wp:effectExtent l="0" t="0" r="26670" b="23495"/>
            <wp:wrapTight wrapText="bothSides">
              <wp:wrapPolygon>
                <wp:start x="0" y="0"/>
                <wp:lineTo x="0" y="21535"/>
                <wp:lineTo x="21493" y="21535"/>
                <wp:lineTo x="21493" y="0"/>
                <wp:lineTo x="0" y="0"/>
              </wp:wrapPolygon>
            </wp:wrapTight>
            <wp:docPr id="2" name="图片 2" descr="9.5交通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交通噪声"/>
                    <pic:cNvPicPr>
                      <a:picLocks noChangeAspect="1"/>
                    </pic:cNvPicPr>
                  </pic:nvPicPr>
                  <pic:blipFill>
                    <a:blip r:embed="rId10"/>
                    <a:stretch>
                      <a:fillRect/>
                    </a:stretch>
                  </pic:blipFill>
                  <pic:spPr>
                    <a:xfrm>
                      <a:off x="0" y="0"/>
                      <a:ext cx="2316480" cy="1681480"/>
                    </a:xfrm>
                    <a:prstGeom prst="rect">
                      <a:avLst/>
                    </a:prstGeom>
                  </pic:spPr>
                </pic:pic>
              </a:graphicData>
            </a:graphic>
          </wp:anchor>
        </w:drawing>
      </w: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 xml:space="preserve"> 9</w:t>
      </w:r>
      <w:r>
        <w:rPr>
          <w:rFonts w:hint="eastAsia" w:ascii="仿宋" w:hAnsi="仿宋" w:eastAsia="仿宋" w:cs="仿宋"/>
          <w:sz w:val="32"/>
          <w:szCs w:val="32"/>
        </w:rPr>
        <w:t xml:space="preserve"> </w:t>
      </w:r>
      <w:r>
        <w:rPr>
          <w:rFonts w:hint="eastAsia" w:ascii="仿宋" w:hAnsi="仿宋" w:eastAsia="仿宋" w:cs="仿宋"/>
          <w:sz w:val="30"/>
          <w:szCs w:val="30"/>
          <w:lang w:val="en-US" w:eastAsia="zh-CN"/>
        </w:rPr>
        <w:t>月5日，学会科技评价中心组织召开了由北京市高速公路交通工程有限公司申请的“交通噪声溯源智能监测系统与低频噪声控制关键技术研究”项目成果评价会。会议由北京公路学会科技评价中心委员赵君黎教高主持；项目评价小组6位专家听取了该项目组的汇报，审阅了评价资料，进行了认真的质询和讨论，认为</w:t>
      </w:r>
      <w:bookmarkStart w:id="3" w:name="_GoBack"/>
      <w:bookmarkEnd w:id="3"/>
      <w:r>
        <w:rPr>
          <w:rFonts w:hint="eastAsia" w:ascii="仿宋" w:hAnsi="仿宋" w:eastAsia="仿宋" w:cs="仿宋"/>
          <w:sz w:val="30"/>
          <w:szCs w:val="30"/>
          <w:lang w:val="en-US" w:eastAsia="zh-CN"/>
        </w:rPr>
        <w:t xml:space="preserve">该项目建立了实时交通车辆噪声影响预测模型，研发了噪声在线监测系统， 研制了声屏障用新型低频噪声控制超构材料吸声单元。该项目成果已在北京部分路段成功应用，社会效益和经济效益显著。  </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0"/>
          <w:szCs w:val="30"/>
          <w:lang w:val="en-US" w:eastAsia="zh-CN"/>
        </w:rPr>
        <w:drawing>
          <wp:anchor distT="0" distB="0" distL="114300" distR="114300" simplePos="0" relativeHeight="251663360" behindDoc="1" locked="0" layoutInCell="1" allowOverlap="1">
            <wp:simplePos x="0" y="0"/>
            <wp:positionH relativeFrom="column">
              <wp:posOffset>33655</wp:posOffset>
            </wp:positionH>
            <wp:positionV relativeFrom="paragraph">
              <wp:posOffset>443865</wp:posOffset>
            </wp:positionV>
            <wp:extent cx="2209800" cy="1651000"/>
            <wp:effectExtent l="0" t="0" r="28575" b="25400"/>
            <wp:wrapTight wrapText="bothSides">
              <wp:wrapPolygon>
                <wp:start x="0" y="0"/>
                <wp:lineTo x="0" y="21434"/>
                <wp:lineTo x="21507" y="21434"/>
                <wp:lineTo x="21507" y="0"/>
                <wp:lineTo x="0" y="0"/>
              </wp:wrapPolygon>
            </wp:wrapTight>
            <wp:docPr id="4" name="图片 4" descr="9.10基于pci的沥青路面数字化养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0基于pci的沥青路面数字化养护"/>
                    <pic:cNvPicPr>
                      <a:picLocks noChangeAspect="1"/>
                    </pic:cNvPicPr>
                  </pic:nvPicPr>
                  <pic:blipFill>
                    <a:blip r:embed="rId11"/>
                    <a:stretch>
                      <a:fillRect/>
                    </a:stretch>
                  </pic:blipFill>
                  <pic:spPr>
                    <a:xfrm>
                      <a:off x="0" y="0"/>
                      <a:ext cx="2209800" cy="1651000"/>
                    </a:xfrm>
                    <a:prstGeom prst="rect">
                      <a:avLst/>
                    </a:prstGeom>
                  </pic:spPr>
                </pic:pic>
              </a:graphicData>
            </a:graphic>
          </wp:anchor>
        </w:drawing>
      </w: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 xml:space="preserve">  9</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月9日，学会科技评价中心组织召开了由北京市政路桥管理养护集团有限公司申请的“基于PCI的沥青路面数字化养护管理辅助决策系统研究与应用”项目成果评价会。会议由北京工业大学张金喜教授主持；项目评价小组5位专家听取了该项目组的汇报，审阅了评价资料，进行了认真的质询和讨论，认为该项目在城市道路养护的历史数据基础上建立了路面PCI深度学习的养护预测模型，构建了数字化养护管理辅助决策系统。该项目成果为城市道路管理部门提供了决策支持，经济和社会效益显著。</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仿宋" w:hAnsi="仿宋" w:eastAsia="仿宋"/>
          <w:kern w:val="0"/>
          <w:sz w:val="28"/>
          <w:szCs w:val="28"/>
          <w:lang w:val="en-US" w:eastAsia="zh-CN"/>
        </w:rPr>
      </w:pPr>
    </w:p>
    <w:sectPr>
      <w:footerReference r:id="rId3" w:type="default"/>
      <w:footerReference r:id="rId4" w:type="even"/>
      <w:pgSz w:w="11906" w:h="16838"/>
      <w:pgMar w:top="1440" w:right="1800" w:bottom="1440" w:left="1800" w:header="851" w:footer="992" w:gutter="0"/>
      <w:cols w:space="425" w:num="1"/>
      <w:titlePg/>
      <w:docGrid w:type="lines" w:linePitch="5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panose1 w:val="02040604050505020304"/>
    <w:charset w:val="00"/>
    <w:family w:val="roman"/>
    <w:pitch w:val="default"/>
    <w:sig w:usb0="00000287" w:usb1="00000000" w:usb2="00000000" w:usb3="00000000" w:csb0="2000009F" w:csb1="DFD70000"/>
  </w:font>
  <w:font w:name="方正隶二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ebdings">
    <w:panose1 w:val="05030102010509060703"/>
    <w:charset w:val="00"/>
    <w:family w:val="auto"/>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29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Zjk5NmNlYmJjYWE4ZTQyYWUyZTczNjY0OGNjZDcifQ=="/>
  </w:docVars>
  <w:rsids>
    <w:rsidRoot w:val="008C7D43"/>
    <w:rsid w:val="00000AF1"/>
    <w:rsid w:val="00001E04"/>
    <w:rsid w:val="00001F48"/>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2517"/>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246"/>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47047"/>
    <w:rsid w:val="0015208D"/>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5EE3"/>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76549"/>
    <w:rsid w:val="00283823"/>
    <w:rsid w:val="00284C40"/>
    <w:rsid w:val="00286C91"/>
    <w:rsid w:val="002878B4"/>
    <w:rsid w:val="00291CE6"/>
    <w:rsid w:val="002925C1"/>
    <w:rsid w:val="00292F72"/>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0AE5"/>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1DD0"/>
    <w:rsid w:val="003D2D9D"/>
    <w:rsid w:val="003D35ED"/>
    <w:rsid w:val="003D4D63"/>
    <w:rsid w:val="003D5DD7"/>
    <w:rsid w:val="003D7FD5"/>
    <w:rsid w:val="003E10AB"/>
    <w:rsid w:val="003E12F0"/>
    <w:rsid w:val="003E1418"/>
    <w:rsid w:val="003E3941"/>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56A7"/>
    <w:rsid w:val="00446BE0"/>
    <w:rsid w:val="0044799F"/>
    <w:rsid w:val="00450527"/>
    <w:rsid w:val="00450F54"/>
    <w:rsid w:val="00452749"/>
    <w:rsid w:val="00452DAE"/>
    <w:rsid w:val="004568C5"/>
    <w:rsid w:val="00456A15"/>
    <w:rsid w:val="00456ADF"/>
    <w:rsid w:val="00460772"/>
    <w:rsid w:val="00460BFB"/>
    <w:rsid w:val="00461517"/>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774EA"/>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9E2"/>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5B07"/>
    <w:rsid w:val="006374AA"/>
    <w:rsid w:val="00640A8B"/>
    <w:rsid w:val="00640F14"/>
    <w:rsid w:val="006425E6"/>
    <w:rsid w:val="006449D1"/>
    <w:rsid w:val="0064638C"/>
    <w:rsid w:val="00646E57"/>
    <w:rsid w:val="00647007"/>
    <w:rsid w:val="00647A17"/>
    <w:rsid w:val="0065013A"/>
    <w:rsid w:val="00650598"/>
    <w:rsid w:val="00651253"/>
    <w:rsid w:val="0065331A"/>
    <w:rsid w:val="0065338F"/>
    <w:rsid w:val="00653B30"/>
    <w:rsid w:val="00653F40"/>
    <w:rsid w:val="00654958"/>
    <w:rsid w:val="00663CCE"/>
    <w:rsid w:val="00666141"/>
    <w:rsid w:val="00666A29"/>
    <w:rsid w:val="00667659"/>
    <w:rsid w:val="006678E8"/>
    <w:rsid w:val="006710B3"/>
    <w:rsid w:val="00671817"/>
    <w:rsid w:val="00671822"/>
    <w:rsid w:val="00673B69"/>
    <w:rsid w:val="00675087"/>
    <w:rsid w:val="006750D4"/>
    <w:rsid w:val="006773FD"/>
    <w:rsid w:val="00677623"/>
    <w:rsid w:val="0068127D"/>
    <w:rsid w:val="00681565"/>
    <w:rsid w:val="00681EC8"/>
    <w:rsid w:val="00682C9E"/>
    <w:rsid w:val="00683DE8"/>
    <w:rsid w:val="006845F1"/>
    <w:rsid w:val="00684DFE"/>
    <w:rsid w:val="00687DD3"/>
    <w:rsid w:val="00691041"/>
    <w:rsid w:val="00691156"/>
    <w:rsid w:val="00693908"/>
    <w:rsid w:val="00693C0E"/>
    <w:rsid w:val="00694AC9"/>
    <w:rsid w:val="00694F71"/>
    <w:rsid w:val="00695050"/>
    <w:rsid w:val="00697A35"/>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06A19"/>
    <w:rsid w:val="007109FF"/>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175"/>
    <w:rsid w:val="007E7E78"/>
    <w:rsid w:val="007F03E8"/>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1442"/>
    <w:rsid w:val="009221D2"/>
    <w:rsid w:val="00924F60"/>
    <w:rsid w:val="00926FC0"/>
    <w:rsid w:val="009309A5"/>
    <w:rsid w:val="009329FF"/>
    <w:rsid w:val="0093336B"/>
    <w:rsid w:val="00937172"/>
    <w:rsid w:val="009371F6"/>
    <w:rsid w:val="00940B46"/>
    <w:rsid w:val="00941AFB"/>
    <w:rsid w:val="00945E45"/>
    <w:rsid w:val="00946493"/>
    <w:rsid w:val="009502D1"/>
    <w:rsid w:val="009515A4"/>
    <w:rsid w:val="0095307B"/>
    <w:rsid w:val="00954DCD"/>
    <w:rsid w:val="0096166C"/>
    <w:rsid w:val="0096167D"/>
    <w:rsid w:val="0096473A"/>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229C"/>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3C28"/>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09A"/>
    <w:rsid w:val="00A87CE8"/>
    <w:rsid w:val="00A87D6A"/>
    <w:rsid w:val="00A9081F"/>
    <w:rsid w:val="00A927A7"/>
    <w:rsid w:val="00A95BEE"/>
    <w:rsid w:val="00A97329"/>
    <w:rsid w:val="00AA01ED"/>
    <w:rsid w:val="00AA200B"/>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E7639"/>
    <w:rsid w:val="00AF1507"/>
    <w:rsid w:val="00AF1C98"/>
    <w:rsid w:val="00AF302D"/>
    <w:rsid w:val="00AF607E"/>
    <w:rsid w:val="00AF66D8"/>
    <w:rsid w:val="00B0037B"/>
    <w:rsid w:val="00B014F0"/>
    <w:rsid w:val="00B01B4A"/>
    <w:rsid w:val="00B0256E"/>
    <w:rsid w:val="00B10311"/>
    <w:rsid w:val="00B1094E"/>
    <w:rsid w:val="00B11469"/>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2B46"/>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3546"/>
    <w:rsid w:val="00BB36E4"/>
    <w:rsid w:val="00BB4DF7"/>
    <w:rsid w:val="00BB5D50"/>
    <w:rsid w:val="00BC119C"/>
    <w:rsid w:val="00BC16E0"/>
    <w:rsid w:val="00BC18B8"/>
    <w:rsid w:val="00BC2ACB"/>
    <w:rsid w:val="00BC4BEA"/>
    <w:rsid w:val="00BC5990"/>
    <w:rsid w:val="00BD06C1"/>
    <w:rsid w:val="00BD0E56"/>
    <w:rsid w:val="00BD2A5F"/>
    <w:rsid w:val="00BD2BE7"/>
    <w:rsid w:val="00BE0463"/>
    <w:rsid w:val="00BE1C9F"/>
    <w:rsid w:val="00BE4120"/>
    <w:rsid w:val="00BE4ACB"/>
    <w:rsid w:val="00BF1D29"/>
    <w:rsid w:val="00BF1FE4"/>
    <w:rsid w:val="00BF37B4"/>
    <w:rsid w:val="00BF4195"/>
    <w:rsid w:val="00BF447C"/>
    <w:rsid w:val="00BF45F0"/>
    <w:rsid w:val="00BF6E37"/>
    <w:rsid w:val="00BF7E82"/>
    <w:rsid w:val="00C00570"/>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543B"/>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3838"/>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1F6F"/>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0C45"/>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1B2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28EA"/>
    <w:rsid w:val="00FE45E3"/>
    <w:rsid w:val="00FE5162"/>
    <w:rsid w:val="00FE6580"/>
    <w:rsid w:val="00FE70C0"/>
    <w:rsid w:val="00FE7B74"/>
    <w:rsid w:val="00FF1612"/>
    <w:rsid w:val="00FF3164"/>
    <w:rsid w:val="00FF39B8"/>
    <w:rsid w:val="00FF3E6C"/>
    <w:rsid w:val="00FF6A03"/>
    <w:rsid w:val="05DF6ADE"/>
    <w:rsid w:val="0636606A"/>
    <w:rsid w:val="06F37B3E"/>
    <w:rsid w:val="0A7046F4"/>
    <w:rsid w:val="0A8E0349"/>
    <w:rsid w:val="0ABE6F8A"/>
    <w:rsid w:val="0B00682C"/>
    <w:rsid w:val="0B0E6393"/>
    <w:rsid w:val="0DAC638A"/>
    <w:rsid w:val="122B6608"/>
    <w:rsid w:val="13E33F24"/>
    <w:rsid w:val="14E10963"/>
    <w:rsid w:val="14F6614B"/>
    <w:rsid w:val="180729F7"/>
    <w:rsid w:val="186474C4"/>
    <w:rsid w:val="194449B3"/>
    <w:rsid w:val="19ED2922"/>
    <w:rsid w:val="1A4E60EF"/>
    <w:rsid w:val="1D5767D6"/>
    <w:rsid w:val="1D9913C1"/>
    <w:rsid w:val="208F6545"/>
    <w:rsid w:val="20925E30"/>
    <w:rsid w:val="21164E9D"/>
    <w:rsid w:val="245F11C4"/>
    <w:rsid w:val="24A80E39"/>
    <w:rsid w:val="259721E1"/>
    <w:rsid w:val="265A78EA"/>
    <w:rsid w:val="2AAF1C07"/>
    <w:rsid w:val="2AB9269B"/>
    <w:rsid w:val="2D103A7C"/>
    <w:rsid w:val="2D1E224B"/>
    <w:rsid w:val="2D2C5649"/>
    <w:rsid w:val="2D5F6B1F"/>
    <w:rsid w:val="2FE434F3"/>
    <w:rsid w:val="31833A9F"/>
    <w:rsid w:val="37890AE4"/>
    <w:rsid w:val="3DEB66E3"/>
    <w:rsid w:val="3E03620E"/>
    <w:rsid w:val="3F0C5E31"/>
    <w:rsid w:val="407B3E4F"/>
    <w:rsid w:val="4404451F"/>
    <w:rsid w:val="44971EBE"/>
    <w:rsid w:val="4676541F"/>
    <w:rsid w:val="4685200E"/>
    <w:rsid w:val="47BF3315"/>
    <w:rsid w:val="48437D15"/>
    <w:rsid w:val="4C495452"/>
    <w:rsid w:val="4E8818A8"/>
    <w:rsid w:val="4F8E1885"/>
    <w:rsid w:val="50191597"/>
    <w:rsid w:val="502F3FA3"/>
    <w:rsid w:val="52051A37"/>
    <w:rsid w:val="52C92A21"/>
    <w:rsid w:val="5516391E"/>
    <w:rsid w:val="555E1B24"/>
    <w:rsid w:val="573B19EF"/>
    <w:rsid w:val="5AA23E1E"/>
    <w:rsid w:val="5FAA1B52"/>
    <w:rsid w:val="600F3795"/>
    <w:rsid w:val="60A126BD"/>
    <w:rsid w:val="619E2037"/>
    <w:rsid w:val="65A42069"/>
    <w:rsid w:val="665E4FF7"/>
    <w:rsid w:val="67B81AAA"/>
    <w:rsid w:val="680E0214"/>
    <w:rsid w:val="690E3F39"/>
    <w:rsid w:val="6AF670D5"/>
    <w:rsid w:val="6D1A7306"/>
    <w:rsid w:val="6D321474"/>
    <w:rsid w:val="724640DA"/>
    <w:rsid w:val="73430398"/>
    <w:rsid w:val="745C3C53"/>
    <w:rsid w:val="75FA21FB"/>
    <w:rsid w:val="765A18BB"/>
    <w:rsid w:val="77820317"/>
    <w:rsid w:val="78540627"/>
    <w:rsid w:val="7CD2641A"/>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caption"/>
    <w:basedOn w:val="1"/>
    <w:next w:val="1"/>
    <w:unhideWhenUsed/>
    <w:qFormat/>
    <w:locked/>
    <w:uiPriority w:val="0"/>
    <w:rPr>
      <w:rFonts w:ascii="Arial" w:hAnsi="Arial" w:eastAsia="黑体"/>
      <w:sz w:val="20"/>
    </w:rPr>
  </w:style>
  <w:style w:type="paragraph" w:styleId="4">
    <w:name w:val="annotation text"/>
    <w:basedOn w:val="1"/>
    <w:unhideWhenUsed/>
    <w:qFormat/>
    <w:uiPriority w:val="99"/>
    <w:pPr>
      <w:jc w:val="left"/>
    </w:pPr>
  </w:style>
  <w:style w:type="paragraph" w:styleId="5">
    <w:name w:val="Balloon Text"/>
    <w:basedOn w:val="1"/>
    <w:link w:val="14"/>
    <w:semiHidden/>
    <w:qFormat/>
    <w:uiPriority w:val="99"/>
    <w:rPr>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0"/>
    <w:qFormat/>
    <w:locked/>
    <w:uiPriority w:val="0"/>
    <w:pPr>
      <w:spacing w:before="240" w:after="60"/>
      <w:jc w:val="center"/>
      <w:outlineLvl w:val="0"/>
    </w:pPr>
    <w:rPr>
      <w:rFonts w:asciiTheme="majorHAnsi" w:hAnsiTheme="majorHAnsi" w:cstheme="majorBidi"/>
      <w:b/>
      <w:bCs/>
      <w:sz w:val="32"/>
      <w:szCs w:val="32"/>
    </w:rPr>
  </w:style>
  <w:style w:type="character" w:styleId="11">
    <w:name w:val="Strong"/>
    <w:basedOn w:val="10"/>
    <w:qFormat/>
    <w:uiPriority w:val="99"/>
    <w:rPr>
      <w:rFonts w:cs="Times New Roman"/>
      <w:b/>
      <w:bCs/>
    </w:rPr>
  </w:style>
  <w:style w:type="character" w:styleId="12">
    <w:name w:val="page number"/>
    <w:basedOn w:val="10"/>
    <w:qFormat/>
    <w:uiPriority w:val="99"/>
    <w:rPr>
      <w:rFonts w:cs="Times New Roman"/>
    </w:rPr>
  </w:style>
  <w:style w:type="character" w:customStyle="1" w:styleId="14">
    <w:name w:val="批注框文本 Char"/>
    <w:basedOn w:val="10"/>
    <w:link w:val="5"/>
    <w:semiHidden/>
    <w:qFormat/>
    <w:locked/>
    <w:uiPriority w:val="99"/>
    <w:rPr>
      <w:rFonts w:cs="Times New Roman"/>
      <w:sz w:val="2"/>
    </w:rPr>
  </w:style>
  <w:style w:type="character" w:customStyle="1" w:styleId="15">
    <w:name w:val="页脚 Char"/>
    <w:basedOn w:val="10"/>
    <w:link w:val="6"/>
    <w:semiHidden/>
    <w:qFormat/>
    <w:locked/>
    <w:uiPriority w:val="99"/>
    <w:rPr>
      <w:rFonts w:cs="Times New Roman"/>
      <w:sz w:val="18"/>
      <w:szCs w:val="18"/>
    </w:rPr>
  </w:style>
  <w:style w:type="paragraph" w:customStyle="1" w:styleId="16">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7">
    <w:name w:val="页眉 Char"/>
    <w:basedOn w:val="10"/>
    <w:link w:val="7"/>
    <w:qFormat/>
    <w:locked/>
    <w:uiPriority w:val="99"/>
    <w:rPr>
      <w:rFonts w:cs="Times New Roman"/>
      <w:kern w:val="2"/>
      <w:sz w:val="18"/>
      <w:szCs w:val="18"/>
    </w:rPr>
  </w:style>
  <w:style w:type="paragraph" w:customStyle="1" w:styleId="18">
    <w:name w:val="List Paragraph"/>
    <w:basedOn w:val="1"/>
    <w:qFormat/>
    <w:uiPriority w:val="34"/>
    <w:pPr>
      <w:ind w:firstLine="420" w:firstLineChars="200"/>
    </w:pPr>
  </w:style>
  <w:style w:type="paragraph" w:customStyle="1" w:styleId="1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标题 Char"/>
    <w:basedOn w:val="10"/>
    <w:link w:val="9"/>
    <w:qFormat/>
    <w:uiPriority w:val="0"/>
    <w:rPr>
      <w:rFonts w:asciiTheme="majorHAnsi" w:hAnsiTheme="majorHAnsi" w:cstheme="majorBidi"/>
      <w:b/>
      <w:bCs/>
      <w:sz w:val="32"/>
      <w:szCs w:val="32"/>
    </w:rPr>
  </w:style>
  <w:style w:type="character" w:customStyle="1" w:styleId="21">
    <w:name w:val="标题 字符"/>
    <w:qFormat/>
    <w:uiPriority w:val="0"/>
    <w:rPr>
      <w:rFonts w:ascii="等线 Light" w:hAnsi="等线 Light" w:cs="Times New Roman"/>
      <w:b/>
      <w:bCs/>
      <w:kern w:val="2"/>
      <w:sz w:val="32"/>
      <w:szCs w:val="32"/>
    </w:rPr>
  </w:style>
  <w:style w:type="character" w:customStyle="1" w:styleId="22">
    <w:name w:val="NormalCharacter"/>
    <w:semiHidden/>
    <w:qFormat/>
    <w:uiPriority w:val="0"/>
  </w:style>
  <w:style w:type="character" w:customStyle="1" w:styleId="23">
    <w:name w:val="markedconten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2B512-66A5-460D-88E0-DCC57B396291}">
  <ds:schemaRefs/>
</ds:datastoreItem>
</file>

<file path=docProps/app.xml><?xml version="1.0" encoding="utf-8"?>
<Properties xmlns="http://schemas.openxmlformats.org/officeDocument/2006/extended-properties" xmlns:vt="http://schemas.openxmlformats.org/officeDocument/2006/docPropsVTypes">
  <Template>Normal</Template>
  <Company>WWW.TYGHOST.COM</Company>
  <Pages>5</Pages>
  <Words>1519</Words>
  <Characters>1550</Characters>
  <Lines>8</Lines>
  <Paragraphs>2</Paragraphs>
  <TotalTime>0</TotalTime>
  <ScaleCrop>false</ScaleCrop>
  <LinksUpToDate>false</LinksUpToDate>
  <CharactersWithSpaces>1618</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2022-01-06T01:28:00Z</dcterms:created>
  <dc:creator>lenovo</dc:creator>
  <cp:lastModifiedBy>yuancaiyun</cp:lastModifiedBy>
  <cp:lastPrinted>2024-09-26T04:52:05Z</cp:lastPrinted>
  <dcterms:modified xsi:type="dcterms:W3CDTF">2024-09-26T04:52:26Z</dcterms:modified>
  <dc:title>北 京 公 路 学 会 信 息</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0F4039995D934638B67BE04005CC5411_12</vt:lpwstr>
  </property>
</Properties>
</file>